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1766-A</w:t>
        <w:t xml:space="preserve">.  </w:t>
      </w:r>
      <w:r>
        <w:rPr>
          <w:b/>
        </w:rPr>
        <w:t xml:space="preserve">Electricity purchases for state buildings</w:t>
      </w:r>
    </w:p>
    <w:p>
      <w:pPr>
        <w:jc w:val="both"/>
        <w:spacing w:before="100" w:after="100"/>
        <w:ind w:start="360"/>
        <w:ind w:firstLine="360"/>
      </w:pPr>
      <w:r>
        <w:rPr/>
      </w:r>
      <w:r>
        <w:rPr/>
      </w:r>
      <w:r>
        <w:t xml:space="preserve">No later than January 1, 2010, all electricity consumed in state-owned buildings must be supplied by renewable resources.  For purposes of this section, "renewable resource" has the same meaning as in </w:t>
      </w:r>
      <w:r>
        <w:t>Title 35‑A, section 3210, subsection 2, paragraph C</w:t>
      </w:r>
      <w:r>
        <w:t xml:space="preserve">.  In purchasing electricity for state-owned buildings, the State may give preference to electricity generated by community-based renewable energy projects, as defined in </w:t>
      </w:r>
      <w:r>
        <w:t>Title 35‑A, section 3602, subsection 1</w:t>
      </w:r>
      <w:r>
        <w:t xml:space="preserve"> and electricity generated by combined heat and power projects, as defined in </w:t>
      </w:r>
      <w:r>
        <w:t>Title 35‑A, section 3622,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604,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 §1 (NEW). PL 2009, c. 329, Pt. A, §1 (AMD). PL 2021, c. 604,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§1766-A. Electricity purchases for state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§1766-A. Electricity purchases for state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§1766-A. ELECTRICITY PURCHASES FOR STATE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