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17251</w:t>
        <w:t xml:space="preserve">.  </w:t>
      </w:r>
      <w:r>
        <w:rPr>
          <w:b/>
        </w:rPr>
        <w:t xml:space="preserve">Establishment</w:t>
      </w:r>
    </w:p>
    <w:p>
      <w:pPr>
        <w:jc w:val="both"/>
        <w:spacing w:before="100" w:after="100"/>
        <w:ind w:start="360"/>
        <w:ind w:firstLine="360"/>
      </w:pPr>
      <w:r>
        <w:rPr/>
      </w:r>
      <w:r>
        <w:rPr/>
      </w:r>
      <w:r>
        <w:t xml:space="preserve">The Retirement Allowance Fund is established in which must be accumulated all reserves required for the payment of benefits under this Part, other than reserves in the Members' Contribution Fund.</w:t>
      </w:r>
      <w:r>
        <w:t xml:space="preserve">  </w:t>
      </w:r>
      <w:r xmlns:wp="http://schemas.openxmlformats.org/drawingml/2010/wordprocessingDrawing" xmlns:w15="http://schemas.microsoft.com/office/word/2012/wordml">
        <w:rPr>
          <w:rFonts w:ascii="Arial" w:hAnsi="Arial" w:cs="Arial"/>
          <w:sz w:val="22"/>
          <w:szCs w:val="22"/>
        </w:rPr>
        <w:t xml:space="preserve">[PL 2007, c. 249,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§§4,12 (AMD). PL 2007, c. 249,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§17251.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