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Legislative review of federal grant applications</w:t>
      </w:r>
    </w:p>
    <w:p>
      <w:pPr>
        <w:jc w:val="both"/>
        <w:spacing w:before="100" w:after="100"/>
        <w:ind w:start="360"/>
        <w:ind w:firstLine="360"/>
      </w:pPr>
      <w:r>
        <w:rPr/>
      </w:r>
      <w:r>
        <w:rPr/>
      </w:r>
      <w:r>
        <w:t xml:space="preserve">The director of a state agency shall submit, at the same time that a federal grant application is submitted to the Federal Government, a copy of each such application to the Director of Fiscal and Program Review.</w:t>
      </w:r>
      <w:r>
        <w:t xml:space="preserve">  </w:t>
      </w:r>
      <w:r xmlns:wp="http://schemas.openxmlformats.org/drawingml/2010/wordprocessingDrawing" xmlns:w15="http://schemas.microsoft.com/office/word/2012/wordml">
        <w:rPr>
          <w:rFonts w:ascii="Arial" w:hAnsi="Arial" w:cs="Arial"/>
          <w:sz w:val="22"/>
          <w:szCs w:val="22"/>
        </w:rPr>
        <w:t xml:space="preserve">[PL 1985, c. 737,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378 (NEW). PL 1985, c. 737, §B10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§1705. Legislative review of federal grant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Legislative review of federal grant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§1705. LEGISLATIVE REVIEW OF FEDERAL GRANT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