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§1675. ACCEPTANCE OF FUNDS FOR ALTERNATIVE-FUELED VEHICLES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