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1674</w:t>
        <w:t xml:space="preserve">.  </w:t>
      </w:r>
      <w:r>
        <w:rPr>
          <w:b/>
        </w:rPr>
        <w:t xml:space="preserve">Departmental indirect cost allocation proposal</w:t>
      </w:r>
    </w:p>
    <w:p>
      <w:pPr>
        <w:jc w:val="both"/>
        <w:spacing w:before="100" w:after="100"/>
        <w:ind w:start="360"/>
        <w:ind w:firstLine="360"/>
      </w:pPr>
      <w:r>
        <w:rPr/>
      </w:r>
      <w:r>
        <w:rPr/>
      </w:r>
      <w:r>
        <w:t xml:space="preserve">Each department or agency of State Government that is authorized to expend more than $25,000 on a single project in any fiscal year on the construction, repair or improvement of state-owned real property shall prepare and submit a departmental indirect cost allocation proposal to the Commissioner of Administrative and Financial Services prior to that expenditure.  These proposals must be on file in 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1991, c. 780, Pt. Y, §50 (AMD).]</w:t>
      </w:r>
    </w:p>
    <w:p>
      <w:pPr>
        <w:jc w:val="both"/>
        <w:spacing w:before="100" w:after="100"/>
        <w:ind w:start="360"/>
        <w:ind w:firstLine="360"/>
      </w:pPr>
      <w:r>
        <w:rPr/>
      </w:r>
      <w:r>
        <w:rPr/>
      </w:r>
      <w:r>
        <w:t xml:space="preserve">The commissioner may promulgate rules necessary to carry out this section.</w:t>
      </w:r>
      <w:r>
        <w:t xml:space="preserve">  </w:t>
      </w:r>
      <w:r xmlns:wp="http://schemas.openxmlformats.org/drawingml/2010/wordprocessingDrawing" xmlns:w15="http://schemas.microsoft.com/office/word/2012/wordml">
        <w:rPr>
          <w:rFonts w:ascii="Arial" w:hAnsi="Arial" w:cs="Arial"/>
          <w:sz w:val="22"/>
          <w:szCs w:val="22"/>
        </w:rPr>
        <w:t xml:space="preserve">[PL 1985, c. 195,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195, §§1,2 (NEW). PL 1985, c. 785, §A60 (AMD). PL 1991, c. 780, §Y50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§1674. Departmental indirect cost allocation proposal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§1674. Departmental indirect cost allocation proposal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§1674. DEPARTMENTAL INDIRECT COST ALLOCATION PROPOSAL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