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1666-A</w:t>
        <w:t xml:space="preserve">.  </w:t>
      </w:r>
      <w:r>
        <w:rPr>
          <w:b/>
        </w:rPr>
        <w:t xml:space="preserve">Enactment of budget</w:t>
      </w:r>
    </w:p>
    <w:p>
      <w:pPr>
        <w:jc w:val="both"/>
        <w:spacing w:before="100" w:after="100"/>
        <w:ind w:start="360"/>
        <w:ind w:firstLine="360"/>
      </w:pPr>
      <w:r>
        <w:rPr/>
      </w:r>
      <w:r>
        <w:rPr/>
      </w:r>
      <w:r>
        <w:t xml:space="preserve">The Legislature shall review a biennial or supplemental budget submitted to it in accordance with this chapter and enact a budget no later than 30 days prior to the date of adjournment prescribed in </w:t>
      </w:r>
      <w:r>
        <w:t>Title 3, section 2</w:t>
      </w:r>
      <w:r>
        <w:t xml:space="preserve">, except that, during the first year in office of a Governor-elect, the Legislature shall enact a budget no later than the first Friday in June.</w:t>
      </w:r>
      <w:r>
        <w:t xml:space="preserve">  </w:t>
      </w:r>
      <w:r xmlns:wp="http://schemas.openxmlformats.org/drawingml/2010/wordprocessingDrawing" xmlns:w15="http://schemas.microsoft.com/office/word/2012/wordml">
        <w:rPr>
          <w:rFonts w:ascii="Arial" w:hAnsi="Arial" w:cs="Arial"/>
          <w:sz w:val="22"/>
          <w:szCs w:val="22"/>
        </w:rPr>
        <w:t xml:space="preserve">[PL 1995,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§1666-A. Enactment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§1666-A. Enactment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§1666-A. ENACTMENT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