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12002-C</w:t>
        <w:t xml:space="preserve">.  </w:t>
      </w:r>
      <w:r>
        <w:rPr>
          <w:b/>
        </w:rPr>
        <w:t xml:space="preserve">Per diem and expense vouchers</w:t>
      </w:r>
    </w:p>
    <w:p>
      <w:pPr>
        <w:jc w:val="both"/>
        <w:spacing w:before="100" w:after="100"/>
        <w:ind w:start="360"/>
        <w:ind w:firstLine="360"/>
      </w:pPr>
      <w:r>
        <w:rPr/>
      </w:r>
      <w:r>
        <w:rPr/>
      </w:r>
      <w:r>
        <w:t xml:space="preserve">In order to receive per diem compensation or reimbursement for expenses as authorized by this chapter, a member of a board that is required to submit expense vouchers to the Department of Administrative and Financial Services for reimbursement must complete and sign an expense voucher form to the satisfaction of the Commissioner of Administrative and Financial Services.  Every board member shall certify in writing on the voucher form whether the per diem or expenses incurred for each item is an official meeting or hearing activity required by statute that has been called by the chair of the board or by a person authorized by statute to call the meeting or hearing.  In the event that the requested per diem or expense reimbursement is not the result of an official meeting or hearing of the board, the board member shall explain on the voucher the reason for the claim.  The Commissioner of Administrative and Financial Services may disapprove those expenses or portion of expenses that do not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1991, c. 780, Pt. Y, §101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295, §10 (NEW). PL 1985, c. 785, §A80 (AMD). PL 1991, c. 780, §Y101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§12002-C. Per diem and expense vouchers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§12002-C. Per diem and expense vouchers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§12002-C. PER DIEM AND EXPENSE VOUCHERS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