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w:t>
        <w:t xml:space="preserve">.  </w:t>
      </w:r>
      <w:r>
        <w:rPr>
          <w:b/>
        </w:rPr>
        <w:t xml:space="preserve">Political activities of judges of probate</w:t>
      </w:r>
    </w:p>
    <w:p>
      <w:pPr>
        <w:jc w:val="both"/>
        <w:spacing w:before="100" w:after="100"/>
        <w:ind w:start="360"/>
        <w:ind w:firstLine="360"/>
      </w:pPr>
      <w:r>
        <w:rPr/>
      </w:r>
      <w:r>
        <w:rPr/>
      </w:r>
      <w:r>
        <w:t xml:space="preserve">As a candidate for the elective office of judge of probate or as an elected judge, a person seeking or holding the office of judge of probate may engage in any political activity that would be lawful for a candidate for any other elected county office or for an incumbent elected county official.  Any such judge may hold any other elected office or offices not made incompatible by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1993, c. 695,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 Political activities of judges of probate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 Political activities of judges of probate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§312. POLITICAL ACTIVITIES OF JUDGES OF PROBATE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