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Currently effective annual salary.</w:t>
        <w:t xml:space="preserve"> </w:t>
      </w:r>
      <w:r>
        <w:t xml:space="preserve"> </w:t>
      </w:r>
      <w:r>
        <w:t xml:space="preserve">"Currently effective annual salary" means the annual salary on June 30, 1984, of the position from which the judge retired, or if the judge died in office, the position that judge held at death, increased on July 1, 1984, and each succeeding July 1st, by 6% of the salary, as adjusted, on the immediately preceding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§46 (COR).]</w:t>
      </w:r>
    </w:p>
    <w:p>
      <w:pPr>
        <w:jc w:val="both"/>
        <w:spacing w:before="100" w:after="0"/>
        <w:ind w:start="360"/>
        <w:ind w:firstLine="360"/>
      </w:pPr>
      <w:r>
        <w:rPr>
          <w:b/>
        </w:rPr>
        <w:t>2</w:t>
        <w:t xml:space="preserve">.  </w:t>
      </w:r>
      <w:r>
        <w:rPr>
          <w:b/>
        </w:rPr>
        <w:t xml:space="preserve">Judge.</w:t>
        <w:t xml:space="preserve"> </w:t>
      </w:r>
      <w:r>
        <w:t xml:space="preserve"> </w:t>
      </w:r>
      <w:r>
        <w:t xml:space="preserve">"Judge" means any Justice of the Supreme Judicial Court or the Superior Court and any Judge of the District Court who retired prior to December 1, 1984, and includes Active Retired Judges who retired prior to December 1, 1984.  "Judge" also includes any Administrative Court Judge or any Associate Administrative Court Judge who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§§B38,B45 (AMD). PL 1999, c. 547, §B78 (AMD). PL 1999, c. 547, §B80 (AFF). PL 2001, c. 12, §2 (AMD). RR 2021, c. 1, Pt. B,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