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Administrative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1977, c. 694, §5 (AMD). PL 1979, c. 265, §1 (AMD). PL 1979, c. 544, §8 (AMD). PL 1981, c. 698, §5 (AMD). PL 1983, c. 171, §§1,2 (AMD). PL 1983, c. 853, §§C14,18 (AMD). PL 1985, c. 748, §§1,2 (AMD). PL 1985, c. 771, §1 (AMD). PL 1987, c. 85, §1 (AMD). PL 1987, c. 141, §B1 (AMD). PL 1987, c. 395, §A15 (AMD). PL 1987, c. 402, §A9 (AMD). PL 1987, c. 595, §1 (AMD). PL 1987, c. 769, §A7 (AMD). PL 1989, c. 502, §A9 (AMD). PL 1991, c. 377, §2 (AMD). PL 1991, c. 563, §1 (AMD). PL 1991, c. 824, §B1 (AMD). RR 1993, c. 1, §3 (COR). PL 1995, c. 65, §A6 (AMD). PL 1995, c. 65, §§A153,C15 (AFF). PL 1997, c. 643, §M11 (AMD). PL 1999, c. 547, §A3 (AMD). PL 1999, c. 547, §B12 (RP).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Administrative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Administrative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§1151. ADMINISTRATIVE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