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 Active retired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Active retired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§104. ACTIVE RETIRED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