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308</w:t>
        <w:t xml:space="preserve">.  </w:t>
      </w:r>
      <w:r>
        <w:rPr>
          <w:b/>
        </w:rPr>
        <w:t xml:space="preserve">Employment</w:t>
      </w:r>
    </w:p>
    <w:p>
      <w:pPr>
        <w:jc w:val="both"/>
        <w:spacing w:before="100" w:after="0"/>
        <w:ind w:start="360"/>
        <w:ind w:firstLine="360"/>
      </w:pPr>
      <w:r>
        <w:rPr>
          <w:b/>
        </w:rPr>
        <w:t>1</w:t>
        <w:t xml:space="preserve">.  </w:t>
      </w:r>
      <w:r>
        <w:rPr>
          <w:b/>
        </w:rPr>
        <w:t xml:space="preserve">Return to employment.</w:t>
        <w:t xml:space="preserve"> </w:t>
      </w:r>
      <w:r>
        <w:t xml:space="preserve"> </w:t>
      </w:r>
      <w:r>
        <w:t xml:space="preserve">Any person receiving compensation under this Act who returns to employment or engages in new employment after that person's injury shall file a written report of that employment with the board and that person's previous employer within 7 days of that person's return to work. This report must include the identity of the employee, the employee's employer and the amount of weekly wages or earnings received or to be received by the employee.  The board shall send the employee notice of the employee's responsibility to notify the board and the employer when the employee returns to work and the employee's responsibility to submit the reports required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2</w:t>
        <w:t xml:space="preserve">.  </w:t>
      </w:r>
      <w:r>
        <w:rPr>
          <w:b/>
        </w:rPr>
        <w:t xml:space="preserve">Employment status reports.</w:t>
        <w:t xml:space="preserve"> </w:t>
      </w:r>
      <w:r>
        <w:t xml:space="preserve"> </w:t>
      </w:r>
      <w:r>
        <w:t xml:space="preserve">At the previous employer's request, any person receiving compensation under this Act who has not returned to that person's previous employment must submit quarterly employment status reports to that employer.  The report is due 90 days after the date of injury, or after the filing of the report under </w:t>
      </w:r>
      <w:r>
        <w:t>subsection 1</w:t>
      </w:r>
      <w:r>
        <w:t xml:space="preserve">, and every 90 days thereafter.  The report must be in a form prescribed by the board and must indicate whether the employee has been employed, changed employment or performed any services for compensation during the previous 90 days, the nature of the employment or services, the name and address of the employer or person for whom the services were performed and any other information that the board by rule may require.  Any employer requesting a quarterly report under this subsection must provide the employee with the prescribed form at least 15 days prior to the date on which it is due.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§144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2023, c. 405, Pt. A, §144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§308. Employment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§308. Employment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§308. EMPLOYMENT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