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966-A</w:t>
        <w:t xml:space="preserve">.  </w:t>
      </w:r>
      <w:r>
        <w:rPr>
          <w:b/>
        </w:rPr>
        <w:t xml:space="preserve">Citizens' groups or organizations</w:t>
      </w:r>
    </w:p>
    <w:p>
      <w:pPr>
        <w:jc w:val="both"/>
        <w:spacing w:before="100" w:after="0"/>
        <w:ind w:start="360"/>
        <w:ind w:firstLine="360"/>
      </w:pPr>
      <w:r>
        <w:rPr>
          <w:b/>
        </w:rPr>
        <w:t>1</w:t>
        <w:t xml:space="preserve">.  </w:t>
      </w:r>
      <w:r>
        <w:rPr>
          <w:b/>
        </w:rPr>
        <w:t xml:space="preserve">Participation.</w:t>
        <w:t xml:space="preserve"> </w:t>
      </w:r>
      <w:r>
        <w:t xml:space="preserve"> </w:t>
      </w:r>
      <w:r>
        <w:t xml:space="preserve">A citizens' group or organization may participate in all hearings held by the commission, request and receive notices, bring judicial proceedings and exercise all other rights of parties to proceedings before the commission, provided that the group or organization is designated as qualified by an order of the commission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w:t>
      </w:r>
    </w:p>
    <w:p>
      <w:pPr>
        <w:jc w:val="both"/>
        <w:spacing w:before="100" w:after="100"/>
        <w:ind w:start="360"/>
        <w:ind w:firstLine="360"/>
      </w:pPr>
      <w:r>
        <w:rPr>
          <w:b/>
        </w:rPr>
        <w:t>2</w:t>
        <w:t xml:space="preserve">.  </w:t>
      </w:r>
      <w:r>
        <w:rPr>
          <w:b/>
        </w:rPr>
        <w:t xml:space="preserve">Organizations qualified.</w:t>
        <w:t xml:space="preserve"> </w:t>
      </w:r>
      <w:r>
        <w:t xml:space="preserve"> </w:t>
      </w:r>
      <w:r>
        <w:t xml:space="preserve">The commission shall issue an order designating a citizens' group or organization as qualified under this section if it finds that:</w:t>
      </w:r>
    </w:p>
    <w:p>
      <w:pPr>
        <w:jc w:val="both"/>
        <w:spacing w:before="100" w:after="0"/>
        <w:ind w:start="720"/>
      </w:pPr>
      <w:r>
        <w:rPr/>
        <w:t>A</w:t>
        <w:t xml:space="preserve">.  </w:t>
      </w:r>
      <w:r>
        <w:rPr/>
      </w:r>
      <w:r>
        <w:t xml:space="preserve">The group or organization has filed an application showing:</w:t>
      </w:r>
    </w:p>
    <w:p>
      <w:pPr>
        <w:jc w:val="both"/>
        <w:spacing w:before="100" w:after="0"/>
        <w:ind w:start="1080"/>
      </w:pPr>
      <w:r>
        <w:rPr/>
        <w:t>(</w:t>
        <w:t>1</w:t>
        <w:t xml:space="preserve">)  </w:t>
      </w:r>
      <w:r>
        <w:rPr/>
      </w:r>
      <w:r>
        <w:t xml:space="preserve">That is has significant and definable interest in the Saco, Ossipee or Little Ossipee Rivers and their adjacent lands; and</w:t>
      </w:r>
    </w:p>
    <w:p>
      <w:pPr>
        <w:jc w:val="both"/>
        <w:spacing w:before="100" w:after="0"/>
        <w:ind w:start="1080"/>
      </w:pPr>
      <w:r>
        <w:rPr/>
        <w:t>(</w:t>
        <w:t>2</w:t>
        <w:t xml:space="preserve">)  </w:t>
      </w:r>
      <w:r>
        <w:rPr/>
      </w:r>
      <w:r>
        <w:t xml:space="preserve">That it has at least 50 members in the municipalities whose lands comprise the Saco River Corridor or at least 15 members in a municipality which will be directly affected by a proposed action of the commission.</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w:t>
      </w:r>
    </w:p>
    <w:p>
      <w:pPr>
        <w:jc w:val="both"/>
        <w:spacing w:before="100" w:after="0"/>
        <w:ind w:start="360"/>
        <w:ind w:firstLine="360"/>
      </w:pPr>
      <w:r>
        <w:rPr>
          <w:b/>
        </w:rPr>
        <w:t>3</w:t>
        <w:t xml:space="preserve">.  </w:t>
      </w:r>
      <w:r>
        <w:rPr>
          <w:b/>
        </w:rPr>
        <w:t xml:space="preserve">Contents.</w:t>
        <w:t xml:space="preserve"> </w:t>
      </w:r>
      <w:r>
        <w:t xml:space="preserve"> </w:t>
      </w:r>
      <w:r>
        <w:t xml:space="preserve">Every application for designation as a qualified organization under this section shall contain the name and address of a representative or office for the receipt of notices and other communications and the names and addresses of the organization's officers, directors and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w:t>
      </w:r>
    </w:p>
    <w:p>
      <w:pPr>
        <w:jc w:val="both"/>
        <w:spacing w:before="100" w:after="0"/>
        <w:ind w:start="360"/>
        <w:ind w:firstLine="360"/>
      </w:pPr>
      <w:r>
        <w:rPr>
          <w:b/>
        </w:rPr>
        <w:t>4</w:t>
        <w:t xml:space="preserve">.  </w:t>
      </w:r>
      <w:r>
        <w:rPr>
          <w:b/>
        </w:rPr>
        <w:t xml:space="preserve">Time period.</w:t>
        <w:t xml:space="preserve"> </w:t>
      </w:r>
      <w:r>
        <w:t xml:space="preserve"> </w:t>
      </w:r>
      <w:r>
        <w:t xml:space="preserve">The commission may establish a period of time after which qualifications under this section will expire unless renewed, and in such cases shall give notice of the necessity for renewal not less than one month prior to the expiration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§966-A. Citizens' groups or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§966-A. Citizens' groups or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§966-A. CITIZENS' GROUPS OR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