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Acquisition of property interests</w:t>
      </w:r>
    </w:p>
    <w:p>
      <w:pPr>
        <w:jc w:val="both"/>
        <w:spacing w:before="100" w:after="100"/>
        <w:ind w:start="360"/>
        <w:ind w:firstLine="360"/>
      </w:pPr>
      <w:r>
        <w:rPr/>
      </w:r>
      <w:r>
        <w:rPr/>
      </w:r>
      <w:r>
        <w:t xml:space="preserve">The commission may acquire conservation easements or other interest in real estate in the name of the State by gift, purchase, grant, bequest, devise or lease for any of its purposes and may convey administration thereof to any appropriate agency.</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A conservation easement under this section may be a development right, covenant or other contractual right, including a conveyance with conditions or with limitations or reversions, as may be desirable to conserve and properly utilize open spaces and other land and water areas in the corridor.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 Acquisition of property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Acquisition of property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§955. ACQUISITION OF PROPERTY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