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--injury to existing mill or canal</w:t>
      </w:r>
    </w:p>
    <w:p>
      <w:pPr>
        <w:jc w:val="both"/>
        <w:spacing w:before="100" w:after="100"/>
        <w:ind w:start="360"/>
        <w:ind w:firstLine="360"/>
      </w:pPr>
      <w:r>
        <w:rPr/>
      </w:r>
      <w:r>
        <w:rPr/>
      </w:r>
      <w:r>
        <w:t xml:space="preserve">No such dam shall be erected or canal constructed to the injury of any mill or canal lawfully existing on the same stream; nor to the injury of any mill site, on which a mill or milldam has been lawfully erected and used, unless the right to maintain a mill thereon has been lost or defeated.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--injury to existing mill or canal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§653. --INJURY TO EXISTING MILL OR CANAL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