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Malfunctions</w:t>
      </w:r>
    </w:p>
    <w:p>
      <w:pPr>
        <w:jc w:val="both"/>
        <w:spacing w:before="100" w:after="100"/>
        <w:ind w:start="360"/>
        <w:ind w:firstLine="360"/>
      </w:pPr>
      <w:r>
        <w:rPr/>
      </w:r>
      <w:r>
        <w:rPr/>
      </w:r>
      <w:r>
        <w:t xml:space="preserve">Any person owning or operating any emission source that suffers a malfunction or breakdown in any component part and that malfunction or breakdown causes a violation of any emission standards shall notify the commissioner within 48 hours  and submit a written report to the department on a quarterly basis.</w:t>
      </w:r>
      <w:r>
        <w:t xml:space="preserve">  </w:t>
      </w:r>
      <w:r xmlns:wp="http://schemas.openxmlformats.org/drawingml/2010/wordprocessingDrawing" xmlns:w15="http://schemas.microsoft.com/office/word/2012/wordml">
        <w:rPr>
          <w:rFonts w:ascii="Arial" w:hAnsi="Arial" w:cs="Arial"/>
          <w:sz w:val="22"/>
          <w:szCs w:val="22"/>
        </w:rPr>
        <w:t xml:space="preserve">[PL 1995, c. 235,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1983, c. 566, §42 (AMD). PL 1989, c. 890, §§A40,B174 (AMD). PL 1995, c. 235,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Malfunctions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Malfunctions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§605. MALFUNCTIONS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