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§577. CLIMATE ACTION PLAN;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