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w:t>
        <w:t xml:space="preserve">.  </w:t>
      </w:r>
      <w:r>
        <w:rPr>
          <w:b/>
        </w:rPr>
        <w:t xml:space="preserve">Operation under influence of drugs or liquor</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while intoxicated or under the influence of any narcotic drug, barbiturate or cannabis,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§339 (RPR);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§339 (RPR).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 Operation under influence of drugs or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 Operation under influence of drugs or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§284. OPERATION UNDER INFLUENCE OF DRUGS OR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