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2170-A</w:t>
        <w:t xml:space="preserve">.  </w:t>
      </w:r>
      <w:r>
        <w:rPr>
          <w:b/>
        </w:rPr>
        <w:t xml:space="preserve">Host community agreements</w:t>
      </w:r>
    </w:p>
    <w:p>
      <w:pPr>
        <w:jc w:val="both"/>
        <w:spacing w:before="100" w:after="100"/>
        <w:ind w:start="360"/>
        <w:ind w:firstLine="360"/>
      </w:pPr>
      <w:r>
        <w:rPr/>
      </w:r>
      <w:r>
        <w:rPr/>
      </w:r>
      <w:r>
        <w:t xml:space="preserve">The provisions of this section apply to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§50 (AMD); PL 2011, c. 655, Pt. GG, §70 (AFF).]</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department may not issue a license for a solid waste disposal facility unless a host community agreement is in place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w:pPr>
        <w:jc w:val="both"/>
        <w:spacing w:before="100" w:after="0"/>
        <w:ind w:start="360"/>
        <w:ind w:firstLine="360"/>
      </w:pPr>
      <w:r>
        <w:rPr>
          <w:b/>
        </w:rPr>
        <w:t>2</w:t>
        <w:t xml:space="preserve">.  </w:t>
      </w:r>
      <w:r>
        <w:rPr>
          <w:b/>
        </w:rPr>
        <w:t xml:space="preserve">Agreement required.</w:t>
        <w:t xml:space="preserve"> </w:t>
      </w:r>
      <w:r>
        <w:t xml:space="preserve"> </w:t>
      </w:r>
      <w:r>
        <w:t xml:space="preserve">A solid waste disposal facility must have in place a host community agreement with all applicable host communities during the development and operation and through closure of that facility.  A host community agreement for the purposes of this section must, when applicable, include provisions relating to the impact payments set forth in </w:t>
      </w:r>
      <w:r>
        <w:t>section 2176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 PL 2011, c. 655, Pt. GG, §50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§2170-A. Host community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§2170-A. Host community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§2170-A. HOST COMMUNITY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