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w:t>
        <w:t xml:space="preserve">.  </w:t>
      </w:r>
      <w:r>
        <w:rPr>
          <w:b/>
        </w:rPr>
        <w:t xml:space="preserve">Notification</w:t>
      </w:r>
    </w:p>
    <w:p>
      <w:pPr>
        <w:jc w:val="both"/>
        <w:spacing w:before="100" w:after="100"/>
        <w:ind w:start="360"/>
        <w:ind w:firstLine="360"/>
      </w:pPr>
      <w:r>
        <w:rPr/>
      </w:r>
      <w:r>
        <w:rPr/>
      </w:r>
      <w:r>
        <w:t xml:space="preserve">The bureau shall notify the municipal officers of any municipality within which a waste disposal facility site is recommended under this subchapter of that recommendation.  The bureau shall notify the municipal officers by certified mail within 30 days of making the recommendation.  If the proposed site is located within the jurisdiction of the Maine Land Use Planning Commission, the bureau shall notify the Maine Land Use Planning Commission and the county commissioners in lieu of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2011, c. 655, Pt. GG, §42 (AMD); PL 2011, c. 655, Pt. GG, §70 (AFF); PL 2011, c. 682, §38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2011, c. 655, Pt. GG, §42 (AMD). PL 2011, c. 655, Pt. GG, §70 (AFF). PL 2011, c. 682, §38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§2155.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