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2009</w:t>
        <w:t xml:space="preserve">.  </w:t>
      </w:r>
      <w:r>
        <w:rPr>
          <w:b/>
        </w:rPr>
        <w:t xml:space="preserve">Exemption</w:t>
      </w:r>
    </w:p>
    <w:p>
      <w:pPr>
        <w:jc w:val="both"/>
        <w:spacing w:before="100" w:after="100"/>
        <w:ind w:start="360"/>
        <w:ind w:firstLine="360"/>
      </w:pPr>
      <w:r>
        <w:rPr/>
      </w:r>
      <w:r>
        <w:rPr/>
      </w:r>
      <w:r>
        <w:t xml:space="preserve">The property, both real and personal, rights and franchises of any watershed district formed under this chapter and held within the boundaries of the district is forever exempt from taxation.</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§2009.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§2009.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§2009.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