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§1751. DISTRICT BONDS AND NOTES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