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1729</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all member municipalities vote to withdraw pursuant to </w:t>
      </w:r>
      <w:r>
        <w:t>section 1728</w:t>
      </w:r>
      <w:r>
        <w:t xml:space="preserve">, the board of directors shall vote to dissolve the district.  The board of directors may, at any time by 2/3 vote, recommend to the member municipalities that the district be dissolved.  If such a recommendation is made, the municipal officers in each member municipality shall cause the question of dissolving the district to be put to the voters in each municipality in referendum.  If the voters in 2/3 of the municipalities vote to dissolve the district, the district shall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wind up the affairs of the district and shall liquidate the district's assets and liabilities as follows:</w:t>
      </w:r>
    </w:p>
    <w:p>
      <w:pPr>
        <w:jc w:val="both"/>
        <w:spacing w:before="100" w:after="0"/>
        <w:ind w:start="720"/>
      </w:pPr>
      <w:r>
        <w:rPr/>
        <w:t>A</w:t>
        <w:t xml:space="preserve">.  </w:t>
      </w:r>
      <w:r>
        <w:rPr/>
      </w:r>
      <w:r>
        <w:t xml:space="preserve">Pay all expenses and debts of the district;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Distribute all assets and liabilities proportionately among the member municipalities in accordance with the formula contained in </w:t>
      </w:r>
      <w:r>
        <w:t>section 1754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shall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§1729.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