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1573</w:t>
        <w:t xml:space="preserve">.  </w:t>
      </w:r>
      <w:r>
        <w:rPr>
          <w:b/>
        </w:rPr>
        <w:t xml:space="preserve">Penalty; rules</w:t>
      </w:r>
    </w:p>
    <w:p>
      <w:pPr>
        <w:jc w:val="both"/>
        <w:spacing w:before="100" w:after="0"/>
        <w:ind w:start="360"/>
        <w:ind w:firstLine="360"/>
      </w:pPr>
      <w:r>
        <w:rPr>
          <w:b/>
        </w:rPr>
        <w:t>1</w:t>
        <w:t xml:space="preserve">.  </w:t>
      </w:r>
      <w:r>
        <w:rPr>
          <w:b/>
        </w:rPr>
        <w:t xml:space="preserve">Penalty.</w:t>
        <w:t xml:space="preserve"> </w:t>
      </w:r>
      <w:r>
        <w:t xml:space="preserve"> </w:t>
      </w:r>
      <w:r>
        <w:t xml:space="preserve">A violation of this chapter is a civil violation for which a fine of not more than $100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the provisions of this chapter.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§1573. Penalty;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§1573. Penalty;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§1573. PENALTY;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