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1310-E-2</w:t>
        <w:t xml:space="preserve">.  </w:t>
      </w:r>
      <w:r>
        <w:rPr>
          <w:b/>
        </w:rPr>
        <w:t xml:space="preserve">Investigation and remediation of landfills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may investigate a solid waste landfill, including an abandoned landfill, when there is a reasonable basis to believe that an unauthorized discharge has occurred or may be occurring.  The commissioner shall consult with and involve the affected municipality or municipalities in the conduct of the investigation and evaluation of the results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2</w:t>
        <w:t xml:space="preserve">.  </w:t>
      </w:r>
      <w:r>
        <w:rPr>
          <w:b/>
        </w:rPr>
        <w:t xml:space="preserve">Remediation recommendations.</w:t>
        <w:t xml:space="preserve"> </w:t>
      </w:r>
      <w:r>
        <w:t xml:space="preserve"> </w:t>
      </w:r>
      <w:r>
        <w:t xml:space="preserve">When, after investigation, the commissioner has sufficient knowledge that a solid waste landfill poses a hazard to public health or the environment, the commissioner may undertake additional evaluations to develop a recommended plan for remediation of the hazard.  Remediation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may be implemented to ensure protection of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3</w:t>
        <w:t xml:space="preserve">.  </w:t>
      </w:r>
      <w:r>
        <w:rPr>
          <w:b/>
        </w:rPr>
        <w:t xml:space="preserve">Remediation orders.</w:t>
        <w:t xml:space="preserve"> </w:t>
      </w:r>
      <w:r>
        <w:t xml:space="preserve"> </w:t>
      </w:r>
      <w:r>
        <w:t xml:space="preserve">The commissioner may take measures necessary to effect a recommended plan for remediation or may incorporate the plan recommendations into a remediation order.  The order must include the time schedule for implementation as required under </w:t>
      </w:r>
      <w:r>
        <w:t>section 1310‑G</w:t>
      </w:r>
      <w:r>
        <w:t xml:space="preserve">.  The person or municipality owning or operating the landfill is the party responsible for the implementation of the order.  Any person aggrieved by the order may appeal the order as provided in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§1310-E-2. Investigation and remediation of landfills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§1310-E-2. Investigation and remediation of landfills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§1310-E-2. INVESTIGATION AND REMEDIATION OF LANDFILLS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