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1281</w:t>
        <w:t xml:space="preserve">.  </w:t>
      </w:r>
      <w:r>
        <w:rPr>
          <w:b/>
        </w:rPr>
        <w:t xml:space="preserve">Emergency provisions</w:t>
      </w:r>
    </w:p>
    <w:p>
      <w:pPr>
        <w:jc w:val="both"/>
        <w:spacing w:before="100" w:after="100"/>
        <w:ind w:start="360"/>
        <w:ind w:firstLine="360"/>
      </w:pPr>
      <w:r>
        <w:rPr/>
      </w:r>
      <w:r>
        <w:rPr/>
      </w:r>
      <w:r>
        <w:t xml:space="preserve">In an emergency that results from a sudden, unexpected event that is not a planned asbestos abatement project, including the emergency repair, installation, removal or servicing of heating equipment in single-unit residential buildings by persons licensed by the Maine Fuel Board under </w:t>
      </w:r>
      <w:r>
        <w:t>Title 32, chapter 139</w:t>
      </w:r>
      <w:r>
        <w:t xml:space="preserve">, the commissioner may waive the requirements for a license or certificate under this chapter. For the purposes of this section, emergency includes a sudden unexpected event that, if not immediately attended to, presents a safety or health hazard; operations necessitated by nonroutine failures of equipment or to protect equipment from damage; and actions of fire and emergency medical personnel pursuant to duties within their official capacities.  Any person who performs an asbestos abatement activity, which activity would normally require notification pursuant to section 1273, subsection 2, under emergency conditions, shall notify the commissioner by phone within one working day and in writing within 3 days after performance of that activity.</w:t>
      </w:r>
      <w:r>
        <w:t xml:space="preserve">  </w:t>
      </w:r>
      <w:r xmlns:wp="http://schemas.openxmlformats.org/drawingml/2010/wordprocessingDrawing" xmlns:w15="http://schemas.microsoft.com/office/word/2012/wordml">
        <w:rPr>
          <w:rFonts w:ascii="Arial" w:hAnsi="Arial" w:cs="Arial"/>
          <w:sz w:val="22"/>
          <w:szCs w:val="22"/>
        </w:rPr>
        <w:t xml:space="preserve">[PL 2009, c. 344, Pt. D, §13 (AMD); PL 2009, c. 344,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2005, c. 52, §2 (AMD). PL 2009, c. 344, Pt. D, §13 (AMD).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§1281. Emergency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§1281. Emergency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§1281. EMERGENCY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