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Legislative review</w:t>
      </w:r>
    </w:p>
    <w:p>
      <w:pPr>
        <w:jc w:val="both"/>
        <w:spacing w:before="100" w:after="100"/>
        <w:ind w:start="360"/>
        <w:ind w:firstLine="360"/>
      </w:pPr>
      <w:r>
        <w:rPr/>
      </w:r>
      <w:r>
        <w:rPr/>
      </w:r>
      <w:r>
        <w:t xml:space="preserve">The joint standing committee of the Legislature having jurisdiction on audit and program review shall review the commission on or before January 1, 1996, and present its recommendations for amendment or repeal of this chapter to the Legislature.</w:t>
      </w:r>
      <w:r>
        <w:t xml:space="preserve">  </w:t>
      </w:r>
      <w:r xmlns:wp="http://schemas.openxmlformats.org/drawingml/2010/wordprocessingDrawing" xmlns:w15="http://schemas.microsoft.com/office/word/2012/wordml">
        <w:rPr>
          <w:rFonts w:ascii="Arial" w:hAnsi="Arial" w:cs="Arial"/>
          <w:sz w:val="22"/>
          <w:szCs w:val="22"/>
        </w:rPr>
        <w:t xml:space="preserve">[PL 1987, c. 470,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470,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Legislative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Legislative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§1002. LEGISLATIVE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