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949-J</w:t>
        <w:t xml:space="preserve">.  </w:t>
      </w:r>
      <w:r>
        <w:rPr>
          <w:b/>
        </w:rPr>
        <w:t xml:space="preserve">Limitations on civil liability for volunteer health practitioners</w:t>
      </w:r>
    </w:p>
    <w:p>
      <w:pPr>
        <w:jc w:val="both"/>
        <w:spacing w:before="100" w:after="100"/>
        <w:ind w:start="360"/>
        <w:ind w:firstLine="360"/>
      </w:pPr>
      <w:r>
        <w:rPr/>
      </w:r>
      <w:r>
        <w:rPr/>
      </w:r>
      <w:r>
        <w:t xml:space="preserve">A volunteer health practitioner who provides health services or veterinary services in accordance with this chapter is immune from liability for injury or death arising from the provision of those services to the extent provided in </w:t>
      </w:r>
      <w:r>
        <w:t>Title 24, section 2904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§949-J. Limitations on civil liability for volunteer health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§949-J. Limitations on civil liability for volunteer health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§949-J. LIMITATIONS ON CIVIL LIABILITY FOR VOLUNTEER HEALTH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