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944</w:t>
        <w:t xml:space="preserve">.  </w:t>
      </w:r>
      <w:r>
        <w:rPr>
          <w:b/>
        </w:rPr>
        <w:t xml:space="preserve">Evacuation - Article X</w:t>
      </w:r>
    </w:p>
    <w:p>
      <w:pPr>
        <w:jc w:val="both"/>
        <w:spacing w:before="100" w:after="100"/>
        <w:ind w:start="360"/>
        <w:ind w:firstLine="360"/>
      </w:pPr>
      <w:r>
        <w:rPr/>
      </w:r>
      <w:r>
        <w:rPr/>
      </w:r>
      <w:r>
        <w:t xml:space="preserve">Each party jurisdiction shall prepare and maintain plans to facilitate the movement and reception of evacuees into or across its territory.  After the termination of the emergency or disaster, the party jurisdiction from which the evacuees came shall assume the responsibility for the ultimate support of repatriation of such evacuees.</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§944. Evacuation - Article 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§944. Evacuation - Article 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§944. EVACUATION - ARTICLE 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