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Emergency Response Commission Fund</w:t>
      </w:r>
    </w:p>
    <w:p>
      <w:pPr>
        <w:jc w:val="both"/>
        <w:spacing w:before="100" w:after="100"/>
        <w:ind w:start="360"/>
        <w:ind w:firstLine="360"/>
      </w:pPr>
      <w:r>
        <w:rPr/>
      </w:r>
      <w:r>
        <w:rPr/>
      </w:r>
      <w:r>
        <w:t xml:space="preserve">The Emergency Response Commission Fund is established to be used by the agency as a nonlapsing fund for carrying out the purposes of this subchapter.  All fees collected under this subchapter shall be credited to this fund.  All fines or penalties assessed pursuant to </w:t>
      </w:r>
      <w:r>
        <w:t>section 806</w:t>
      </w:r>
      <w:r>
        <w:t xml:space="preserve"> shall be credited to this fund.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100"/>
        <w:ind w:start="360"/>
        <w:ind w:firstLine="360"/>
      </w:pPr>
      <w:r>
        <w:rPr>
          <w:b/>
        </w:rPr>
        <w:t>1</w:t>
        <w:t xml:space="preserve">.  </w:t>
      </w:r>
      <w:r>
        <w:rPr>
          <w:b/>
        </w:rPr>
        <w:t xml:space="preserve">Disbursements allowed.</w:t>
        <w:t xml:space="preserve"> </w:t>
      </w:r>
      <w:r>
        <w:t xml:space="preserve"> </w:t>
      </w:r>
      <w:r>
        <w:t xml:space="preserve">The agency, with the advice of the commission, shall make disbursements from the fund for the following purposes:</w:t>
      </w:r>
    </w:p>
    <w:p>
      <w:pPr>
        <w:jc w:val="both"/>
        <w:spacing w:before="100" w:after="0"/>
        <w:ind w:start="720"/>
      </w:pPr>
      <w:r>
        <w:rPr/>
        <w:t>A</w:t>
        <w:t xml:space="preserve">.  </w:t>
      </w:r>
      <w:r>
        <w:rPr/>
      </w:r>
      <w:r>
        <w:t xml:space="preserve">To employ personnel within the agency to manage and coordinate data collected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To fund county training programs for local emergency planning committees;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To provide training grants;</w:t>
      </w:r>
      <w:r>
        <w:t xml:space="preserve">  </w:t>
      </w:r>
      <w:r xmlns:wp="http://schemas.openxmlformats.org/drawingml/2010/wordprocessingDrawing" xmlns:w15="http://schemas.microsoft.com/office/word/2012/wordml">
        <w:rPr>
          <w:rFonts w:ascii="Arial" w:hAnsi="Arial" w:cs="Arial"/>
          <w:sz w:val="22"/>
          <w:szCs w:val="22"/>
        </w:rPr>
        <w:t xml:space="preserve">[PL 2013, c. 462, §11 (AMD).]</w:t>
      </w:r>
    </w:p>
    <w:p>
      <w:pPr>
        <w:jc w:val="both"/>
        <w:spacing w:before="100" w:after="0"/>
        <w:ind w:start="720"/>
      </w:pPr>
      <w:r>
        <w:rPr/>
        <w:t>D</w:t>
        <w:t xml:space="preserve">.  </w:t>
      </w:r>
      <w:r>
        <w:rPr/>
      </w:r>
      <w:r>
        <w:t xml:space="preserve">To provide for the resource needs of the local emergency planning committees ; and</w:t>
      </w:r>
      <w:r>
        <w:t xml:space="preserve">  </w:t>
      </w:r>
      <w:r xmlns:wp="http://schemas.openxmlformats.org/drawingml/2010/wordprocessingDrawing" xmlns:w15="http://schemas.microsoft.com/office/word/2012/wordml">
        <w:rPr>
          <w:rFonts w:ascii="Arial" w:hAnsi="Arial" w:cs="Arial"/>
          <w:sz w:val="22"/>
          <w:szCs w:val="22"/>
        </w:rPr>
        <w:t xml:space="preserve">[PL 2013, c. 462, §11 (AMD).]</w:t>
      </w:r>
    </w:p>
    <w:p>
      <w:pPr>
        <w:jc w:val="both"/>
        <w:spacing w:before="100" w:after="0"/>
        <w:ind w:start="720"/>
      </w:pPr>
      <w:r>
        <w:rPr/>
        <w:t>E</w:t>
        <w:t xml:space="preserve">.  </w:t>
      </w:r>
      <w:r>
        <w:rPr/>
      </w:r>
      <w:r>
        <w:t xml:space="preserve">To provide for the procurement and maintenance of hazardous materials incident response equipment and related consumable supplies.  Disbursements for this purpose must be approved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2013, c. 462,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462, §§11,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2013, c. 462,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§802. Emergency Response Commission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Emergency Response Commission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§802. EMERGENCY RESPONSE COMMISSION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