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Policy</w:t>
      </w:r>
    </w:p>
    <w:p>
      <w:pPr>
        <w:jc w:val="both"/>
        <w:spacing w:before="100" w:after="100"/>
        <w:ind w:start="360"/>
        <w:ind w:firstLine="360"/>
      </w:pPr>
      <w:r>
        <w:rPr/>
      </w:r>
      <w:r>
        <w:rPr/>
      </w:r>
      <w:r>
        <w:t xml:space="preserve">It is declared to be the policy of the State that all emergency management and homeland security functions be coordinated to the maximum extent with the comparable functions of the Federal Government, including its various departments and agencies, of other states and localities, and of private agencies so that the most effective preparation and use may be made of the nation's workforce, resources and facilities for dealing with any disaster that may occur.</w:t>
      </w:r>
      <w:r>
        <w:t xml:space="preserve">  </w:t>
      </w:r>
      <w:r xmlns:wp="http://schemas.openxmlformats.org/drawingml/2010/wordprocessingDrawing" xmlns:w15="http://schemas.microsoft.com/office/word/2012/wordml">
        <w:rPr>
          <w:rFonts w:ascii="Arial" w:hAnsi="Arial" w:cs="Arial"/>
          <w:sz w:val="22"/>
          <w:szCs w:val="22"/>
        </w:rPr>
        <w:t xml:space="preserve">[PL 2013, c. 146,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§73 (AMD). PL 2013, c. 146,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