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Fund established</w:t>
      </w:r>
    </w:p>
    <w:p>
      <w:pPr>
        <w:jc w:val="both"/>
        <w:spacing w:before="100" w:after="100"/>
        <w:ind w:start="360"/>
        <w:ind w:firstLine="360"/>
      </w:pPr>
      <w:r>
        <w:rPr/>
      </w:r>
      <w:r>
        <w:rPr/>
      </w:r>
      <w:r>
        <w:t xml:space="preserve">A nonlapsing fund is established for the purpose of receiving funds from the State, donations from private citizens, corporations and entities and funds from the sales of commemorative items to pay the costs of the program established under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§511.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