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Foreclosure for equitable relief,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Foreclosure for equitable relief,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§944. FORECLOSURE FOR EQUITABLE RELIEF,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