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Rules for assessment</w:t>
      </w:r>
    </w:p>
    <w:p>
      <w:pPr>
        <w:jc w:val="both"/>
        <w:spacing w:before="100" w:after="100"/>
        <w:ind w:start="360"/>
        <w:ind w:firstLine="360"/>
      </w:pPr>
      <w:r>
        <w:rPr/>
      </w:r>
      <w:r>
        <w:rPr/>
      </w:r>
      <w:r>
        <w:t xml:space="preserve">In the assessment of all taxes, assessors shall govern themselves by this chapter and, when applicable, </w:t>
      </w:r>
      <w:r>
        <w:t>chapter 102</w:t>
      </w:r>
      <w:r>
        <w:t xml:space="preserve"> and shall obey all warrants received by them while in office.</w:t>
      </w:r>
      <w:r>
        <w:t xml:space="preserve">  </w:t>
      </w:r>
      <w:r xmlns:wp="http://schemas.openxmlformats.org/drawingml/2010/wordprocessingDrawing" xmlns:w15="http://schemas.microsoft.com/office/word/2012/wordml">
        <w:rPr>
          <w:rFonts w:ascii="Arial" w:hAnsi="Arial" w:cs="Arial"/>
          <w:sz w:val="22"/>
          <w:szCs w:val="22"/>
        </w:rPr>
        <w:t xml:space="preserve">[PL 1973, c. 620,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§701. Rules for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Rules for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§701. RULES FOR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