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6602</w:t>
        <w:t xml:space="preserve">.  </w:t>
      </w:r>
      <w:r>
        <w:rPr>
          <w:b/>
        </w:rPr>
        <w:t xml:space="preserve">Administration</w:t>
      </w:r>
    </w:p>
    <w:p>
      <w:pPr>
        <w:jc w:val="both"/>
        <w:spacing w:before="100" w:after="100"/>
        <w:ind w:start="360"/>
        <w:ind w:firstLine="360"/>
      </w:pPr>
      <w:r>
        <w:rPr/>
      </w:r>
      <w:r>
        <w:rPr/>
      </w:r>
      <w:r>
        <w:t xml:space="preserve">The State Tax Assessor shall administer the initiatives. The short-term initiative applies to tax liabilities that are assessed as of December 31, 2009 and interest and penalties subsequently assessed on such tax liabilities. The 5-year initiative applies to tax liabilities that were assessed as of June 30, 2005 and interest and penalties subsequently assessed on such tax liabilities.  A taxpayer may participate in the initiatives without regard to whether the amount due is subject to a pending administrative or judicial proceeding. Participation in the initiatives is conditioned upon the taxpayer's agreement to forgo or withdraw a protest or an administrative or judicial proceeding with regard to liabilities paid under the initiatives and not to claim a refund of money paid under the initiatives. These initiatives are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2010 tax initiatives application as described in </w:t>
      </w:r>
      <w:r>
        <w:t>section 6605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for the respective initiative as described in </w:t>
      </w:r>
      <w:r>
        <w:t>section 6606</w:t>
      </w:r>
      <w:r>
        <w:t xml:space="preserve"> by the end of the initiatives period under </w:t>
      </w:r>
      <w:r>
        <w:t>section 6604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