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w:t>
        <w:t xml:space="preserve">.  </w:t>
      </w:r>
      <w:r>
        <w:rPr>
          <w:b/>
        </w:rPr>
        <w:t xml:space="preserve">Mortgaged personal property; taxes</w:t>
      </w:r>
    </w:p>
    <w:p>
      <w:pPr>
        <w:jc w:val="both"/>
        <w:spacing w:before="100" w:after="100"/>
        <w:ind w:start="360"/>
        <w:ind w:firstLine="360"/>
      </w:pPr>
      <w:r>
        <w:rPr/>
      </w:r>
      <w:r>
        <w:rPr/>
      </w:r>
      <w:r>
        <w:t xml:space="preserve">When personal property is mortgaged, pledged or conveyed with the seller retaining title for security purposes, it shall, for the purposes of taxation, be deemed the property of the person who has it in possession, and it may be distrained for the tax thereon.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 Mortgaged personal property;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 Mortgaged personal property;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§604. MORTGAGED PERSONAL PROPERTY;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