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584-A</w:t>
        <w:t xml:space="preserve">.  </w:t>
      </w:r>
      <w:r>
        <w:rPr>
          <w:b/>
        </w:rPr>
        <w:t xml:space="preserve">Construction</w:t>
      </w:r>
    </w:p>
    <w:p>
      <w:pPr>
        <w:jc w:val="both"/>
        <w:spacing w:before="100" w:after="100"/>
        <w:ind w:start="360"/>
        <w:ind w:firstLine="360"/>
      </w:pPr>
      <w:r>
        <w:rPr/>
      </w:r>
      <w:r>
        <w:rPr/>
      </w:r>
      <w:r>
        <w:t xml:space="preserve">This subchapter shall be broadly construed to achieve its purpose. The invalidity of any provision shall be deemed not to affect the validity of other provisions.</w:t>
      </w:r>
      <w:r>
        <w:t xml:space="preserve">  </w:t>
      </w:r>
      <w:r xmlns:wp="http://schemas.openxmlformats.org/drawingml/2010/wordprocessingDrawing" xmlns:w15="http://schemas.microsoft.com/office/word/2012/wordml">
        <w:rPr>
          <w:rFonts w:ascii="Arial" w:hAnsi="Arial" w:cs="Arial"/>
          <w:sz w:val="22"/>
          <w:szCs w:val="22"/>
        </w:rPr>
        <w:t xml:space="preserve">[PL 1971, c. 616,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616,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§584-A.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§584-A.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§584-A.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