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 where taxed</w:t>
      </w:r>
    </w:p>
    <w:p>
      <w:pPr>
        <w:jc w:val="both"/>
        <w:spacing w:before="100" w:after="100"/>
        <w:ind w:start="360"/>
        <w:ind w:firstLine="360"/>
      </w:pPr>
      <w:r>
        <w:rPr/>
      </w:r>
      <w:r>
        <w:rPr/>
      </w:r>
      <w:r>
        <w:t xml:space="preserve">All real estate shall be taxed in the place where it is to the owner or person in possession, whether resident or nonresident.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 -- where taxed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 where taxed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§553. -- WHERE TAXED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