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5334</w:t>
        <w:t xml:space="preserve">.  </w:t>
      </w:r>
      <w:r>
        <w:rPr>
          <w:b/>
        </w:rPr>
        <w:t xml:space="preserve">Venue</w:t>
      </w:r>
    </w:p>
    <w:p>
      <w:pPr>
        <w:jc w:val="both"/>
        <w:spacing w:before="100" w:after="100"/>
        <w:ind w:start="360"/>
        <w:ind w:firstLine="360"/>
      </w:pPr>
      <w:r>
        <w:rPr/>
      </w:r>
      <w:r>
        <w:rPr/>
      </w:r>
      <w:r>
        <w:t xml:space="preserve">A violation of this Part  is deemed  to have been committed in part  in Kennebec County.  Prosecution may be  brought in any county where the person  to whose liability the proceeding relates resides or has a place of business or in any county in which  the violation was committed.</w:t>
      </w:r>
      <w:r>
        <w:t xml:space="preserve">  </w:t>
      </w:r>
      <w:r xmlns:wp="http://schemas.openxmlformats.org/drawingml/2010/wordprocessingDrawing" xmlns:w15="http://schemas.microsoft.com/office/word/2012/wordml">
        <w:rPr>
          <w:rFonts w:ascii="Arial" w:hAnsi="Arial" w:cs="Arial"/>
          <w:sz w:val="22"/>
          <w:szCs w:val="22"/>
        </w:rPr>
        <w:t xml:space="preserve">[PL 2009, c. 434, §80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1973, c. 567, §20 (AMD). PL 1979, c. 701, §34 (RPR). PL 2009, c. 434, §80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§5334. 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§5334. Venue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§5334. 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