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§5276. Authority to make credits or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§5276. Authority to make credits or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§5276. AUTHORITY TO MAKE CREDITS OR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