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5219-JJ</w:t>
        <w:t xml:space="preserve">.  </w:t>
      </w:r>
      <w:r>
        <w:rPr>
          <w:b/>
        </w:rPr>
        <w:t xml:space="preserve">Maine capital investment credit for 2013</w:t>
      </w:r>
    </w:p>
    <w:p>
      <w:pPr>
        <w:jc w:val="both"/>
        <w:spacing w:before="100" w:after="100"/>
        <w:ind w:start="360"/>
      </w:pPr>
      <w:r>
        <w:rPr>
          <w:b/>
        </w:rPr>
        <w:t>(REALLOCATED FROM TITLE 36, SECTION 5219-II)</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2013 is allowed a credit against the taxes imposed by this Part in an amount equal to 9% of the amount of the net increase in the depreciation deduction reported as an addition to income for the taxable year under </w:t>
      </w:r>
      <w:r>
        <w:t>section 5122, subsection 1, paragraph HH</w:t>
      </w:r>
      <w:r>
        <w:t xml:space="preserve">, subparagraph (1) or </w:t>
      </w:r>
      <w:r>
        <w:t>section 5200‑A, subsection 1, paragraph AA</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HH</w:t>
      </w:r>
      <w:r>
        <w:t xml:space="preserve"> and </w:t>
      </w:r>
      <w:r>
        <w:t>section 5200‑A, subsection 1, paragraph AA</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§5219-JJ. Maine capital investment credit for 2013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§5219-JJ. Maine capital investment credit for 2013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§5219-JJ. MAINE CAPITAL INVESTMENT CREDIT FOR 2013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