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§2529. Pine Tree Development Zone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§2529. Pine Tree Development Zone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§2529. PINE TREE DEVELOPMENT ZONE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