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w:t>
        <w:t xml:space="preserve">.  </w:t>
      </w:r>
      <w:r>
        <w:rPr>
          <w:b/>
        </w:rPr>
        <w:t xml:space="preserve">Criminal offenses; statute of limitations</w:t>
      </w:r>
    </w:p>
    <w:p>
      <w:pPr>
        <w:jc w:val="both"/>
        <w:spacing w:before="100" w:after="100"/>
        <w:ind w:start="360"/>
        <w:ind w:firstLine="360"/>
      </w:pPr>
      <w:r>
        <w:rPr/>
      </w:r>
      <w:r>
        <w:rPr/>
      </w:r>
      <w:r>
        <w:t xml:space="preserve">Notwithstanding </w:t>
      </w:r>
      <w:r>
        <w:t>Title 17‑A, section 8</w:t>
      </w:r>
      <w:r>
        <w:t xml:space="preserve">, prosecution of any crime defined in this Title must be commenced within 6 years after it has been committed.</w:t>
      </w:r>
      <w:r>
        <w:t xml:space="preserve">  </w:t>
      </w:r>
      <w:r xmlns:wp="http://schemas.openxmlformats.org/drawingml/2010/wordprocessingDrawing" xmlns:w15="http://schemas.microsoft.com/office/word/2012/wordml">
        <w:rPr>
          <w:rFonts w:ascii="Arial" w:hAnsi="Arial" w:cs="Arial"/>
          <w:sz w:val="22"/>
          <w:szCs w:val="22"/>
        </w:rPr>
        <w:t xml:space="preserve">[PL 1987, c. 772,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772,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 Criminal offenses; statute of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 Criminal offenses; statute of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§183. CRIMINAL OFFENSES; STATUTE OF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