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Demand letter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Demand letter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§171. DEMAND LETTER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