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1544</w:t>
        <w:t xml:space="preserve">.  </w:t>
      </w:r>
      <w:r>
        <w:rPr>
          <w:b/>
        </w:rPr>
        <w:t xml:space="preserve">Land unredeemed in one year forfeited to State</w:t>
      </w:r>
    </w:p>
    <w:p>
      <w:pPr>
        <w:jc w:val="both"/>
        <w:spacing w:before="100" w:after="100"/>
        <w:ind w:start="360"/>
        <w:ind w:firstLine="360"/>
      </w:pPr>
      <w:r>
        <w:rPr/>
      </w:r>
      <w:r>
        <w:rPr/>
      </w:r>
      <w:r>
        <w:t xml:space="preserve">If any fractional part or interest represented by acreage in such public reserved lots shall not be redeemed as provided in </w:t>
      </w:r>
      <w:r>
        <w:t>section 1543</w:t>
      </w:r>
      <w:r>
        <w:t xml:space="preserve"> at the expiration of one year from the date of the forfeiture, then it shall be and remain wholly forfeited to the State, and shall vest in the State free from all claims by any former owner.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§1544. Land unredeemed in one year forfeited to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§1544. Land unredeemed in one year forfeited to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§1544. LAND UNREDEEMED IN ONE YEAR FORFEITED TO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