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89</w:t>
      </w:r>
    </w:p>
    <w:p>
      <w:pPr>
        <w:jc w:val="center"/>
        <w:ind w:start="360"/>
        <w:spacing w:before="300" w:after="300"/>
      </w:pPr>
      <w:r>
        <w:rPr>
          <w:b/>
        </w:rPr>
        <w:t xml:space="preserve">MOBILE TELECOMMUNICATIONS SERVICES</w:t>
      </w:r>
    </w:p>
    <w:p>
      <w:pPr>
        <w:jc w:val="both"/>
        <w:spacing w:before="100" w:after="100"/>
        <w:ind w:start="1080" w:hanging="720"/>
      </w:pPr>
      <w:r>
        <w:rPr>
          <w:b/>
        </w:rPr>
        <w:t>§</w:t>
        <w:t>8901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342, §5 (NEW). PL 2011, c. 623, Pt. C, §10 (RP). </w:t>
      </w:r>
    </w:p>
    <w:p>
      <w:pPr>
        <w:jc w:val="both"/>
        <w:spacing w:before="100" w:after="100"/>
        <w:ind w:start="1080" w:hanging="720"/>
      </w:pPr>
      <w:r>
        <w:rPr>
          <w:b/>
        </w:rPr>
        <w:t>§</w:t>
        <w:t>8902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mobile telecommunications services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89. MOBILE TELECOMMUNICATIONS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89. MOBILE TELECOMMUNICATIONS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89. MOBILE TELECOMMUNICATIONS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