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Habeas corpus</w:t>
      </w:r>
    </w:p>
    <w:p>
      <w:pPr>
        <w:jc w:val="both"/>
        <w:spacing w:before="100" w:after="100"/>
        <w:ind w:start="360"/>
        <w:ind w:firstLine="360"/>
      </w:pPr>
      <w:r>
        <w:rPr/>
      </w:r>
      <w:r>
        <w:rPr/>
      </w:r>
      <w:r>
        <w:t xml:space="preserve">Any person detained pursuant to this subchapter is entitled to the writ of habeas corpus, upon proper petition by the person or by a friend to any justice generally empowered to issue the writ of habeas corpus in the county in which the person is detained.</w:t>
      </w:r>
      <w:r>
        <w:t xml:space="preserve">  </w:t>
      </w:r>
      <w:r xmlns:wp="http://schemas.openxmlformats.org/drawingml/2010/wordprocessingDrawing" xmlns:w15="http://schemas.microsoft.com/office/word/2012/wordml">
        <w:rPr>
          <w:rFonts w:ascii="Arial" w:hAnsi="Arial" w:cs="Arial"/>
          <w:sz w:val="22"/>
          <w:szCs w:val="22"/>
        </w:rPr>
        <w:t xml:space="preserve">[RR 2019, c. 2, Pt. B,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§3804.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