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Interstate Commission for Juveniles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§9903. INTERSTATE COMMISSION FOR JUVENILES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