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9208</w:t>
        <w:t xml:space="preserve">.  </w:t>
      </w:r>
      <w:r>
        <w:rPr>
          <w:b/>
        </w:rPr>
        <w:t xml:space="preserve">Withdrawal and termination--Article VIII</w:t>
      </w:r>
    </w:p>
    <w:p>
      <w:pPr>
        <w:jc w:val="both"/>
        <w:spacing w:before="100" w:after="100"/>
        <w:ind w:start="360"/>
        <w:ind w:firstLine="360"/>
      </w:pPr>
      <w:r>
        <w:rPr/>
      </w:r>
      <w:r>
        <w:rPr/>
      </w:r>
      <w:r>
        <w:t xml:space="preserve">This compact shall continue in force and remain binding upon a party state until it shall have enacted a statute repealing the same and providing for the sending of formal written notice of withdrawal from the compact to the appropriate officials of all other party states.  An actual withdrawal shall not take effect until one year after the notices provided in said statute have been sent.  Such withdrawal shall not relieve the withdrawing state from its obligations assumed hereunder prior to the effective date of withdrawal. Before the effective date of withdrawal, a withdrawing state shall remove to its territory, at its own expense, such inmates as it may have confined pursuant to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§9208. Withdrawal and termination--Article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§9208. WITHDRAWAL AND TERMINATION--ARTICLE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