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§7002. Powers and duties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Powers and duties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§7002. POWERS AND DUTIES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